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136A" w14:textId="36B7AAD2" w:rsidR="006431FD" w:rsidRPr="006B2234" w:rsidRDefault="00722B13" w:rsidP="006431FD">
      <w:pPr>
        <w:pStyle w:val="PlainText"/>
        <w:tabs>
          <w:tab w:val="left" w:pos="0"/>
          <w:tab w:val="left" w:pos="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234">
        <w:rPr>
          <w:noProof/>
          <w:color w:val="000000" w:themeColor="text1"/>
          <w:sz w:val="28"/>
          <w:szCs w:val="28"/>
        </w:rPr>
        <w:drawing>
          <wp:inline distT="0" distB="0" distL="0" distR="0" wp14:anchorId="13E19C29" wp14:editId="22C12476">
            <wp:extent cx="11811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B5B4" w14:textId="77777777" w:rsidR="00C93ED2" w:rsidRPr="006F4772" w:rsidRDefault="00C93ED2" w:rsidP="003D7AEF">
      <w:pPr>
        <w:pStyle w:val="PlainText"/>
        <w:tabs>
          <w:tab w:val="left" w:pos="0"/>
          <w:tab w:val="left" w:pos="360"/>
        </w:tabs>
        <w:jc w:val="left"/>
        <w:rPr>
          <w:rFonts w:ascii="Times New Roman" w:hAnsi="Times New Roman" w:cs="Times New Roman"/>
          <w:b/>
          <w:smallCaps/>
          <w:sz w:val="22"/>
          <w:szCs w:val="22"/>
        </w:rPr>
      </w:pPr>
      <w:r w:rsidRPr="006F4772">
        <w:rPr>
          <w:rFonts w:ascii="Times New Roman" w:hAnsi="Times New Roman" w:cs="Times New Roman"/>
          <w:b/>
          <w:smallCaps/>
          <w:sz w:val="22"/>
          <w:szCs w:val="22"/>
        </w:rPr>
        <w:t>Joseph M. Harrington</w:t>
      </w:r>
    </w:p>
    <w:p w14:paraId="7FF0D9F6" w14:textId="5F0306E0" w:rsidR="006431FD" w:rsidRPr="006F4772" w:rsidRDefault="006431FD" w:rsidP="006431FD">
      <w:pPr>
        <w:pStyle w:val="PlainText"/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  <w:sectPr w:rsidR="006431FD" w:rsidRPr="006F4772" w:rsidSect="008041A6">
          <w:type w:val="continuous"/>
          <w:pgSz w:w="12240" w:h="15840"/>
          <w:pgMar w:top="1152" w:right="1152" w:bottom="1008" w:left="1152" w:header="720" w:footer="720" w:gutter="0"/>
          <w:cols w:num="2" w:space="144" w:equalWidth="0">
            <w:col w:w="1872" w:space="144"/>
            <w:col w:w="7920"/>
          </w:cols>
        </w:sectPr>
      </w:pPr>
      <w:bookmarkStart w:id="0" w:name="_Hlk55056966"/>
      <w:r w:rsidRPr="006F4772">
        <w:rPr>
          <w:rFonts w:ascii="Times New Roman" w:hAnsi="Times New Roman" w:cs="Times New Roman"/>
          <w:sz w:val="22"/>
          <w:szCs w:val="22"/>
        </w:rPr>
        <w:t xml:space="preserve">A native Chicagoan, </w:t>
      </w:r>
      <w:r w:rsidR="00D400AE">
        <w:rPr>
          <w:rFonts w:ascii="Times New Roman" w:hAnsi="Times New Roman" w:cs="Times New Roman"/>
          <w:sz w:val="22"/>
          <w:szCs w:val="22"/>
        </w:rPr>
        <w:t>Mr.</w:t>
      </w:r>
      <w:r w:rsidR="008B1253" w:rsidRPr="006F4772">
        <w:rPr>
          <w:rFonts w:ascii="Times New Roman" w:hAnsi="Times New Roman" w:cs="Times New Roman"/>
          <w:sz w:val="22"/>
          <w:szCs w:val="22"/>
        </w:rPr>
        <w:t xml:space="preserve"> worked in the fields of education, social services, mental health, </w:t>
      </w:r>
      <w:r w:rsidR="006B2234" w:rsidRPr="006F4772">
        <w:rPr>
          <w:rFonts w:ascii="Times New Roman" w:hAnsi="Times New Roman" w:cs="Times New Roman"/>
          <w:sz w:val="22"/>
          <w:szCs w:val="22"/>
        </w:rPr>
        <w:t>healthcare,</w:t>
      </w:r>
      <w:r w:rsidR="008B1253" w:rsidRPr="006F4772">
        <w:rPr>
          <w:rFonts w:ascii="Times New Roman" w:hAnsi="Times New Roman" w:cs="Times New Roman"/>
          <w:sz w:val="22"/>
          <w:szCs w:val="22"/>
        </w:rPr>
        <w:t xml:space="preserve"> and public health</w:t>
      </w:r>
      <w:r w:rsidR="00A879C9" w:rsidRPr="006F4772">
        <w:rPr>
          <w:rFonts w:ascii="Times New Roman" w:hAnsi="Times New Roman" w:cs="Times New Roman"/>
          <w:sz w:val="22"/>
          <w:szCs w:val="22"/>
        </w:rPr>
        <w:t xml:space="preserve">. </w:t>
      </w:r>
      <w:r w:rsidR="003D7AEF" w:rsidRPr="006F4772">
        <w:rPr>
          <w:rFonts w:ascii="Times New Roman" w:hAnsi="Times New Roman" w:cs="Times New Roman"/>
          <w:sz w:val="22"/>
          <w:szCs w:val="22"/>
        </w:rPr>
        <w:t xml:space="preserve">During my career, I worked at 2 Academic Medical Centers, a Community Hospital; served as an Assistant Commissioner at the Chicago Department of Public Health and retired in 2017 from the Illinois Department of Public Health </w:t>
      </w:r>
      <w:r w:rsidR="00AD1BB3" w:rsidRPr="006F4772">
        <w:rPr>
          <w:rFonts w:ascii="Times New Roman" w:hAnsi="Times New Roman" w:cs="Times New Roman"/>
          <w:sz w:val="22"/>
          <w:szCs w:val="22"/>
        </w:rPr>
        <w:t xml:space="preserve">where I served </w:t>
      </w:r>
      <w:r w:rsidR="003D7AEF" w:rsidRPr="006F4772">
        <w:rPr>
          <w:rFonts w:ascii="Times New Roman" w:hAnsi="Times New Roman" w:cs="Times New Roman"/>
          <w:sz w:val="22"/>
          <w:szCs w:val="22"/>
        </w:rPr>
        <w:t xml:space="preserve">as the Regional Health Officer for Cook County and </w:t>
      </w:r>
      <w:r w:rsidR="00AD1BB3" w:rsidRPr="006F4772">
        <w:rPr>
          <w:rFonts w:ascii="Times New Roman" w:hAnsi="Times New Roman" w:cs="Times New Roman"/>
          <w:sz w:val="22"/>
          <w:szCs w:val="22"/>
        </w:rPr>
        <w:t xml:space="preserve">an </w:t>
      </w:r>
      <w:r w:rsidR="003D7AEF" w:rsidRPr="006F4772">
        <w:rPr>
          <w:rFonts w:ascii="Times New Roman" w:hAnsi="Times New Roman" w:cs="Times New Roman"/>
          <w:sz w:val="22"/>
          <w:szCs w:val="22"/>
        </w:rPr>
        <w:t xml:space="preserve">Administrative Law Judge. </w:t>
      </w:r>
      <w:bookmarkStart w:id="1" w:name="_Hlk55057106"/>
      <w:r w:rsidR="00D400AE">
        <w:rPr>
          <w:rFonts w:ascii="Times New Roman" w:hAnsi="Times New Roman" w:cs="Times New Roman"/>
          <w:sz w:val="22"/>
          <w:szCs w:val="22"/>
        </w:rPr>
        <w:t>He</w:t>
      </w:r>
      <w:r w:rsidR="00AD1BB3" w:rsidRPr="006F4772">
        <w:rPr>
          <w:rFonts w:ascii="Times New Roman" w:hAnsi="Times New Roman" w:cs="Times New Roman"/>
          <w:sz w:val="22"/>
          <w:szCs w:val="22"/>
        </w:rPr>
        <w:t xml:space="preserve"> currently </w:t>
      </w:r>
      <w:r w:rsidR="008540E8" w:rsidRPr="006F4772">
        <w:rPr>
          <w:rFonts w:ascii="Times New Roman" w:hAnsi="Times New Roman" w:cs="Times New Roman"/>
          <w:sz w:val="22"/>
          <w:szCs w:val="22"/>
        </w:rPr>
        <w:t>serve</w:t>
      </w:r>
      <w:r w:rsidR="00D400AE">
        <w:rPr>
          <w:rFonts w:ascii="Times New Roman" w:hAnsi="Times New Roman" w:cs="Times New Roman"/>
          <w:sz w:val="22"/>
          <w:szCs w:val="22"/>
        </w:rPr>
        <w:t>s</w:t>
      </w:r>
      <w:r w:rsidR="008540E8" w:rsidRPr="006F4772">
        <w:rPr>
          <w:rFonts w:ascii="Times New Roman" w:hAnsi="Times New Roman" w:cs="Times New Roman"/>
          <w:sz w:val="22"/>
          <w:szCs w:val="22"/>
        </w:rPr>
        <w:t xml:space="preserve"> on</w:t>
      </w:r>
      <w:r w:rsidR="003D7AEF" w:rsidRPr="006F4772">
        <w:rPr>
          <w:rFonts w:ascii="Times New Roman" w:hAnsi="Times New Roman" w:cs="Times New Roman"/>
          <w:sz w:val="22"/>
          <w:szCs w:val="22"/>
        </w:rPr>
        <w:t xml:space="preserve"> the </w:t>
      </w:r>
      <w:bookmarkStart w:id="2" w:name="_Hlk62822988"/>
      <w:r w:rsidR="003D7AEF" w:rsidRPr="006F4772">
        <w:rPr>
          <w:rFonts w:ascii="Times New Roman" w:hAnsi="Times New Roman" w:cs="Times New Roman"/>
          <w:sz w:val="22"/>
          <w:szCs w:val="22"/>
        </w:rPr>
        <w:t xml:space="preserve">of </w:t>
      </w:r>
      <w:r w:rsidR="008540E8" w:rsidRPr="006F4772">
        <w:rPr>
          <w:rFonts w:ascii="Times New Roman" w:hAnsi="Times New Roman" w:cs="Times New Roman"/>
          <w:sz w:val="22"/>
          <w:szCs w:val="22"/>
        </w:rPr>
        <w:t>Cook County Health</w:t>
      </w:r>
      <w:r w:rsidR="00AD1BB3" w:rsidRPr="006F4772">
        <w:rPr>
          <w:rFonts w:ascii="Times New Roman" w:hAnsi="Times New Roman" w:cs="Times New Roman"/>
          <w:sz w:val="22"/>
          <w:szCs w:val="22"/>
        </w:rPr>
        <w:t xml:space="preserve"> Board</w:t>
      </w:r>
      <w:bookmarkEnd w:id="2"/>
      <w:r w:rsidR="00D400AE">
        <w:rPr>
          <w:rFonts w:ascii="Times New Roman" w:hAnsi="Times New Roman" w:cs="Times New Roman"/>
          <w:sz w:val="22"/>
          <w:szCs w:val="22"/>
        </w:rPr>
        <w:t xml:space="preserve">; </w:t>
      </w:r>
      <w:r w:rsidR="00B919BD" w:rsidRPr="006F4772">
        <w:rPr>
          <w:rFonts w:ascii="Times New Roman" w:hAnsi="Times New Roman" w:cs="Times New Roman"/>
          <w:sz w:val="22"/>
          <w:szCs w:val="22"/>
        </w:rPr>
        <w:t>was appointed to the State Health Improvement Plan Implementation Council by Governor J.B. Pri</w:t>
      </w:r>
      <w:bookmarkEnd w:id="1"/>
      <w:bookmarkEnd w:id="0"/>
      <w:r w:rsidR="00B919BD" w:rsidRPr="006F4772">
        <w:rPr>
          <w:rFonts w:ascii="Times New Roman" w:hAnsi="Times New Roman" w:cs="Times New Roman"/>
          <w:sz w:val="22"/>
          <w:szCs w:val="22"/>
        </w:rPr>
        <w:t>tzker</w:t>
      </w:r>
      <w:r w:rsidR="00D400AE">
        <w:rPr>
          <w:rFonts w:ascii="Times New Roman" w:hAnsi="Times New Roman" w:cs="Times New Roman"/>
          <w:sz w:val="22"/>
          <w:szCs w:val="22"/>
        </w:rPr>
        <w:t>; and is</w:t>
      </w:r>
      <w:r w:rsidR="00D400AE" w:rsidRPr="006F4772">
        <w:rPr>
          <w:rFonts w:ascii="Times New Roman" w:hAnsi="Times New Roman" w:cs="Times New Roman"/>
          <w:sz w:val="22"/>
          <w:szCs w:val="22"/>
        </w:rPr>
        <w:t xml:space="preserve"> actively engaged with the Chicago Area Patient Centered Outcomes Research Network (CAPriCORN)</w:t>
      </w:r>
      <w:r w:rsidR="00D400AE">
        <w:rPr>
          <w:rFonts w:ascii="Times New Roman" w:hAnsi="Times New Roman" w:cs="Times New Roman"/>
          <w:sz w:val="22"/>
          <w:szCs w:val="22"/>
        </w:rPr>
        <w:t>. He</w:t>
      </w:r>
      <w:r w:rsidR="00D400AE" w:rsidRPr="006F4772">
        <w:rPr>
          <w:rFonts w:ascii="Times New Roman" w:hAnsi="Times New Roman" w:cs="Times New Roman"/>
          <w:sz w:val="22"/>
          <w:szCs w:val="22"/>
        </w:rPr>
        <w:t xml:space="preserve"> serve</w:t>
      </w:r>
      <w:r w:rsidR="00D400AE">
        <w:rPr>
          <w:rFonts w:ascii="Times New Roman" w:hAnsi="Times New Roman" w:cs="Times New Roman"/>
          <w:sz w:val="22"/>
          <w:szCs w:val="22"/>
        </w:rPr>
        <w:t>s</w:t>
      </w:r>
      <w:r w:rsidR="00D400AE" w:rsidRPr="006F4772">
        <w:rPr>
          <w:rFonts w:ascii="Times New Roman" w:hAnsi="Times New Roman" w:cs="Times New Roman"/>
          <w:sz w:val="22"/>
          <w:szCs w:val="22"/>
        </w:rPr>
        <w:t xml:space="preserve"> as Co-Lead for its Patient Community Advisory Committee </w:t>
      </w:r>
      <w:r w:rsidR="00D400AE">
        <w:rPr>
          <w:rFonts w:ascii="Times New Roman" w:hAnsi="Times New Roman" w:cs="Times New Roman"/>
          <w:sz w:val="22"/>
          <w:szCs w:val="22"/>
        </w:rPr>
        <w:t xml:space="preserve">and is </w:t>
      </w:r>
      <w:r w:rsidR="00D400AE" w:rsidRPr="006F4772">
        <w:rPr>
          <w:rFonts w:ascii="Times New Roman" w:hAnsi="Times New Roman" w:cs="Times New Roman"/>
          <w:sz w:val="22"/>
          <w:szCs w:val="22"/>
        </w:rPr>
        <w:t xml:space="preserve">on its Steering, Coordinating, and Communications Committee </w:t>
      </w:r>
      <w:r w:rsidR="00D400AE">
        <w:rPr>
          <w:rFonts w:ascii="Times New Roman" w:hAnsi="Times New Roman" w:cs="Times New Roman"/>
          <w:sz w:val="22"/>
          <w:szCs w:val="22"/>
        </w:rPr>
        <w:t>was the</w:t>
      </w:r>
      <w:r w:rsidR="00D400AE" w:rsidRPr="006F4772">
        <w:rPr>
          <w:rFonts w:ascii="Times New Roman" w:hAnsi="Times New Roman" w:cs="Times New Roman"/>
          <w:sz w:val="22"/>
          <w:szCs w:val="22"/>
        </w:rPr>
        <w:t xml:space="preserve"> Project Lead for the PCORI funded, </w:t>
      </w:r>
      <w:r w:rsidR="00D400AE" w:rsidRPr="006F4772">
        <w:rPr>
          <w:rFonts w:ascii="Times New Roman" w:hAnsi="Times New Roman" w:cs="Times New Roman"/>
          <w:i/>
          <w:iCs/>
          <w:sz w:val="22"/>
          <w:szCs w:val="22"/>
        </w:rPr>
        <w:t xml:space="preserve">Elevating the Patient Voice in Research </w:t>
      </w:r>
      <w:r w:rsidR="00D400AE" w:rsidRPr="006F4772">
        <w:rPr>
          <w:rFonts w:ascii="Times New Roman" w:hAnsi="Times New Roman" w:cs="Times New Roman"/>
          <w:sz w:val="22"/>
          <w:szCs w:val="22"/>
        </w:rPr>
        <w:t>project</w:t>
      </w:r>
    </w:p>
    <w:p w14:paraId="6FE58626" w14:textId="77777777" w:rsidR="003D7AEF" w:rsidRPr="00B12E87" w:rsidRDefault="003D7AEF" w:rsidP="00C96F09">
      <w:pPr>
        <w:pStyle w:val="PlainText"/>
        <w:tabs>
          <w:tab w:val="left" w:pos="0"/>
          <w:tab w:val="left" w:pos="36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E196D7" w14:textId="4FD50D4A" w:rsidR="006431FD" w:rsidRPr="006F4772" w:rsidRDefault="006B2234" w:rsidP="00C96F09">
      <w:pPr>
        <w:pStyle w:val="PlainText"/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CC2B0A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Regional Health Officer/Administrative Law Judge for the 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Illinois Department of Public Health</w:t>
      </w:r>
      <w:r w:rsidR="00796F2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C2B0A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I was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responsible for the Department’s Bellwood Regional Office, which </w:t>
      </w:r>
      <w:r w:rsidR="008041A6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encompasses Cook County, IL</w:t>
      </w:r>
      <w:r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is</w:t>
      </w:r>
      <w:r w:rsidR="000A39CF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comprised of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130 incorporated municipalities, 6 certified local health departments and a population of 5.2 million people</w:t>
      </w:r>
      <w:r w:rsidR="008041A6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52B12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C73B87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served as the Director’s Liaison to the 6-certified local health department in the County and the community at large. </w:t>
      </w:r>
      <w:r w:rsidR="008041A6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an Administrative Law Judge, </w:t>
      </w:r>
      <w:r w:rsidR="00852B12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conducted administrative hearings involving nursing home request</w:t>
      </w:r>
      <w:r w:rsidR="000A39CF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involuntarily transfer or discharge</w:t>
      </w:r>
      <w:r w:rsidR="000A39CF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7668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nursing home</w:t>
      </w:r>
      <w:r w:rsidR="00852B12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resident</w:t>
      </w:r>
      <w:r w:rsidR="000A39CF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6431FD" w:rsidRPr="006F47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F647258" w14:textId="77777777" w:rsidR="006431FD" w:rsidRPr="00B12E87" w:rsidRDefault="006431FD" w:rsidP="006431FD">
      <w:pPr>
        <w:rPr>
          <w:color w:val="000000" w:themeColor="text1"/>
          <w:sz w:val="16"/>
          <w:szCs w:val="16"/>
        </w:rPr>
      </w:pPr>
    </w:p>
    <w:p w14:paraId="5B11C395" w14:textId="0C5DCACB" w:rsidR="000E5C9E" w:rsidRPr="006F4772" w:rsidRDefault="008849C1" w:rsidP="000E5C9E">
      <w:pPr>
        <w:jc w:val="both"/>
        <w:rPr>
          <w:color w:val="000000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From 2006-2012</w:t>
      </w:r>
      <w:r w:rsidR="006431FD" w:rsidRPr="006F4772">
        <w:rPr>
          <w:color w:val="000000" w:themeColor="text1"/>
          <w:sz w:val="22"/>
          <w:szCs w:val="22"/>
        </w:rPr>
        <w:t xml:space="preserve">, </w:t>
      </w:r>
      <w:r w:rsidR="00B55A0D" w:rsidRPr="006F4772">
        <w:rPr>
          <w:color w:val="000000" w:themeColor="text1"/>
          <w:sz w:val="22"/>
          <w:szCs w:val="22"/>
        </w:rPr>
        <w:t xml:space="preserve">I served </w:t>
      </w:r>
      <w:r w:rsidR="006431FD" w:rsidRPr="006F4772">
        <w:rPr>
          <w:color w:val="000000" w:themeColor="text1"/>
          <w:sz w:val="22"/>
          <w:szCs w:val="22"/>
        </w:rPr>
        <w:t>as an Assistant Commissioner for the city of Chicago Department of Public Health</w:t>
      </w:r>
      <w:r w:rsidR="008041A6" w:rsidRPr="006F4772">
        <w:rPr>
          <w:color w:val="000000" w:themeColor="text1"/>
          <w:sz w:val="22"/>
          <w:szCs w:val="22"/>
        </w:rPr>
        <w:t xml:space="preserve">. </w:t>
      </w:r>
      <w:r w:rsidR="00F622C7" w:rsidRPr="006F4772">
        <w:rPr>
          <w:color w:val="000000" w:themeColor="text1"/>
          <w:sz w:val="22"/>
          <w:szCs w:val="22"/>
        </w:rPr>
        <w:t xml:space="preserve">In this capacity </w:t>
      </w:r>
      <w:r w:rsidR="007A2DE7" w:rsidRPr="006F4772">
        <w:rPr>
          <w:color w:val="000000" w:themeColor="text1"/>
          <w:sz w:val="22"/>
          <w:szCs w:val="22"/>
        </w:rPr>
        <w:t>I</w:t>
      </w:r>
      <w:r w:rsidR="00F622C7" w:rsidRPr="006F4772">
        <w:rPr>
          <w:color w:val="000000" w:themeColor="text1"/>
          <w:sz w:val="22"/>
          <w:szCs w:val="22"/>
        </w:rPr>
        <w:t xml:space="preserve"> </w:t>
      </w:r>
      <w:r w:rsidR="006B2234" w:rsidRPr="006F4772">
        <w:rPr>
          <w:color w:val="000000" w:themeColor="text1"/>
          <w:sz w:val="22"/>
          <w:szCs w:val="22"/>
        </w:rPr>
        <w:t>s</w:t>
      </w:r>
      <w:r w:rsidR="008041A6" w:rsidRPr="006F4772">
        <w:rPr>
          <w:color w:val="000000"/>
          <w:sz w:val="22"/>
          <w:szCs w:val="22"/>
        </w:rPr>
        <w:t xml:space="preserve">erved as a Departmental liaison for an $11.5 million CDC funded Chicago Tobacco Prevention Project </w:t>
      </w:r>
      <w:r w:rsidR="00581AA7" w:rsidRPr="006F4772">
        <w:rPr>
          <w:color w:val="000000"/>
          <w:sz w:val="22"/>
          <w:szCs w:val="22"/>
        </w:rPr>
        <w:t xml:space="preserve">awarded to the Respiratory Health Association </w:t>
      </w:r>
      <w:r w:rsidR="008041A6" w:rsidRPr="006F4772">
        <w:rPr>
          <w:color w:val="000000"/>
          <w:sz w:val="22"/>
          <w:szCs w:val="22"/>
        </w:rPr>
        <w:t>and a $5.8 million obesity prevention grant awarded to the Consortium to Lower obesity on Chicago Children</w:t>
      </w:r>
      <w:r w:rsidR="006B2234" w:rsidRPr="006F4772">
        <w:rPr>
          <w:color w:val="000000"/>
          <w:sz w:val="22"/>
          <w:szCs w:val="22"/>
        </w:rPr>
        <w:t xml:space="preserve">; </w:t>
      </w:r>
      <w:r w:rsidR="008041A6" w:rsidRPr="006F4772">
        <w:rPr>
          <w:color w:val="000000"/>
          <w:sz w:val="22"/>
          <w:szCs w:val="22"/>
        </w:rPr>
        <w:t>Was a Co-investigator for the CDC funded Center of Excellence in the Elimination of Disparities (CEED) based at the University of Illinois at Chicago</w:t>
      </w:r>
      <w:r w:rsidR="006B2234" w:rsidRPr="006F4772">
        <w:rPr>
          <w:color w:val="000000"/>
          <w:sz w:val="22"/>
          <w:szCs w:val="22"/>
        </w:rPr>
        <w:t xml:space="preserve">; </w:t>
      </w:r>
      <w:r w:rsidR="008041A6" w:rsidRPr="006F4772">
        <w:rPr>
          <w:color w:val="000000"/>
          <w:sz w:val="22"/>
          <w:szCs w:val="22"/>
        </w:rPr>
        <w:t>Provided leadership in the introduction and passage of a resolution by the Chicago Board of Health (2009 and 2011) which established new rules focused on nutrition, physical activity and TV viewing in the city’s licensed day care centers</w:t>
      </w:r>
      <w:r w:rsidR="006B2234" w:rsidRPr="006F4772">
        <w:rPr>
          <w:color w:val="000000"/>
          <w:sz w:val="22"/>
          <w:szCs w:val="22"/>
        </w:rPr>
        <w:t xml:space="preserve">; Served as the </w:t>
      </w:r>
      <w:r w:rsidR="008041A6" w:rsidRPr="006F4772">
        <w:rPr>
          <w:color w:val="000000"/>
          <w:sz w:val="22"/>
          <w:szCs w:val="22"/>
        </w:rPr>
        <w:t>Departmental lead for the city’s Inter-Departmental Task Force on Childhood Obesity which in 2011 was selected by the National Association of City and County Health Organizations (NACCHO) as a Model Practice</w:t>
      </w:r>
      <w:r w:rsidR="006B2234" w:rsidRPr="006F4772">
        <w:rPr>
          <w:color w:val="000000"/>
          <w:sz w:val="22"/>
          <w:szCs w:val="22"/>
        </w:rPr>
        <w:t xml:space="preserve">; </w:t>
      </w:r>
      <w:r w:rsidR="008041A6" w:rsidRPr="006F4772">
        <w:rPr>
          <w:color w:val="000000"/>
          <w:sz w:val="22"/>
          <w:szCs w:val="22"/>
        </w:rPr>
        <w:t xml:space="preserve">Developed the RFP and negotiated the funding for the development of </w:t>
      </w:r>
      <w:proofErr w:type="spellStart"/>
      <w:r w:rsidR="008041A6" w:rsidRPr="006F4772">
        <w:rPr>
          <w:color w:val="000000"/>
          <w:sz w:val="22"/>
          <w:szCs w:val="22"/>
        </w:rPr>
        <w:t>PlayStreets</w:t>
      </w:r>
      <w:proofErr w:type="spellEnd"/>
      <w:r w:rsidR="008041A6" w:rsidRPr="006F4772">
        <w:rPr>
          <w:color w:val="000000"/>
          <w:sz w:val="22"/>
          <w:szCs w:val="22"/>
        </w:rPr>
        <w:t xml:space="preserve"> (an initiative that provides children and adults with, safe, supervised spaces to enjoy outdoor activities, such as sports, games and dancing on a consistent, regular basis)</w:t>
      </w:r>
      <w:r w:rsidR="000E5C9E" w:rsidRPr="006F4772">
        <w:rPr>
          <w:color w:val="000000"/>
          <w:sz w:val="22"/>
          <w:szCs w:val="22"/>
        </w:rPr>
        <w:t>; and Led the Department’s team responsible for community outreach and messaging during the mitigation efforts for H1N1.</w:t>
      </w:r>
    </w:p>
    <w:p w14:paraId="07D21C8B" w14:textId="77777777" w:rsidR="008041A6" w:rsidRPr="00B12E87" w:rsidRDefault="008041A6" w:rsidP="006431FD">
      <w:pPr>
        <w:rPr>
          <w:color w:val="000000" w:themeColor="text1"/>
          <w:sz w:val="16"/>
          <w:szCs w:val="16"/>
        </w:rPr>
      </w:pPr>
    </w:p>
    <w:p w14:paraId="229DA9A2" w14:textId="2EDE0505" w:rsidR="006431FD" w:rsidRPr="006F4772" w:rsidRDefault="008041A6" w:rsidP="00E42562">
      <w:pPr>
        <w:jc w:val="both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P</w:t>
      </w:r>
      <w:r w:rsidR="006431FD" w:rsidRPr="006F4772">
        <w:rPr>
          <w:color w:val="000000" w:themeColor="text1"/>
          <w:sz w:val="22"/>
          <w:szCs w:val="22"/>
        </w:rPr>
        <w:t>rior to th</w:t>
      </w:r>
      <w:r w:rsidRPr="006F4772">
        <w:rPr>
          <w:color w:val="000000" w:themeColor="text1"/>
          <w:sz w:val="22"/>
          <w:szCs w:val="22"/>
        </w:rPr>
        <w:t>is</w:t>
      </w:r>
      <w:r w:rsidR="006431FD" w:rsidRPr="006F4772">
        <w:rPr>
          <w:color w:val="000000" w:themeColor="text1"/>
          <w:sz w:val="22"/>
          <w:szCs w:val="22"/>
        </w:rPr>
        <w:t xml:space="preserve"> </w:t>
      </w:r>
      <w:r w:rsidR="00B55A0D" w:rsidRPr="006F4772">
        <w:rPr>
          <w:color w:val="000000" w:themeColor="text1"/>
          <w:sz w:val="22"/>
          <w:szCs w:val="22"/>
        </w:rPr>
        <w:t>I</w:t>
      </w:r>
      <w:r w:rsidR="006431FD" w:rsidRPr="006F4772">
        <w:rPr>
          <w:color w:val="000000" w:themeColor="text1"/>
          <w:sz w:val="22"/>
          <w:szCs w:val="22"/>
        </w:rPr>
        <w:t xml:space="preserve"> was a Project Director in the Department of Preventive Medicine at</w:t>
      </w:r>
      <w:r w:rsidR="00C96F09" w:rsidRPr="006F4772">
        <w:rPr>
          <w:color w:val="000000" w:themeColor="text1"/>
          <w:sz w:val="22"/>
          <w:szCs w:val="22"/>
        </w:rPr>
        <w:t xml:space="preserve"> Rush University Medical Center for 10 years and while there oversaw its involvement in the Women’s Health Initiative Study and the S</w:t>
      </w:r>
      <w:r w:rsidR="00670B7F" w:rsidRPr="006F4772">
        <w:rPr>
          <w:color w:val="000000" w:themeColor="text1"/>
          <w:sz w:val="22"/>
          <w:szCs w:val="22"/>
        </w:rPr>
        <w:t>elenium and Vitamin E Cancer Prevention</w:t>
      </w:r>
      <w:r w:rsidR="00C96F09" w:rsidRPr="006F4772">
        <w:rPr>
          <w:color w:val="000000" w:themeColor="text1"/>
          <w:sz w:val="22"/>
          <w:szCs w:val="22"/>
        </w:rPr>
        <w:t xml:space="preserve"> Trial. </w:t>
      </w:r>
    </w:p>
    <w:p w14:paraId="15817AFB" w14:textId="77777777" w:rsidR="006431FD" w:rsidRPr="00B12E87" w:rsidRDefault="006431FD" w:rsidP="006431FD">
      <w:pPr>
        <w:rPr>
          <w:color w:val="000000" w:themeColor="text1"/>
          <w:sz w:val="16"/>
          <w:szCs w:val="16"/>
        </w:rPr>
      </w:pPr>
    </w:p>
    <w:p w14:paraId="23579B78" w14:textId="31C2B91C" w:rsidR="006431FD" w:rsidRPr="006F4772" w:rsidRDefault="00B55A0D" w:rsidP="006431FD">
      <w:pPr>
        <w:jc w:val="both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I am</w:t>
      </w:r>
      <w:r w:rsidR="006431FD" w:rsidRPr="006F4772">
        <w:rPr>
          <w:color w:val="000000" w:themeColor="text1"/>
          <w:sz w:val="22"/>
          <w:szCs w:val="22"/>
        </w:rPr>
        <w:t xml:space="preserve"> a graduate of Chicago State University</w:t>
      </w:r>
      <w:r w:rsidR="00041B2F" w:rsidRPr="006F4772">
        <w:rPr>
          <w:color w:val="000000" w:themeColor="text1"/>
          <w:sz w:val="22"/>
          <w:szCs w:val="22"/>
        </w:rPr>
        <w:t xml:space="preserve">, </w:t>
      </w:r>
      <w:proofErr w:type="spellStart"/>
      <w:r w:rsidR="00041B2F" w:rsidRPr="006F4772">
        <w:rPr>
          <w:color w:val="000000" w:themeColor="text1"/>
          <w:sz w:val="22"/>
          <w:szCs w:val="22"/>
        </w:rPr>
        <w:t>BaE</w:t>
      </w:r>
      <w:proofErr w:type="spellEnd"/>
      <w:r w:rsidR="006431FD" w:rsidRPr="006F4772">
        <w:rPr>
          <w:color w:val="000000" w:themeColor="text1"/>
          <w:sz w:val="22"/>
          <w:szCs w:val="22"/>
        </w:rPr>
        <w:t xml:space="preserve"> (1975)</w:t>
      </w:r>
      <w:r w:rsidR="00802E87" w:rsidRPr="006F4772">
        <w:rPr>
          <w:color w:val="000000" w:themeColor="text1"/>
          <w:sz w:val="22"/>
          <w:szCs w:val="22"/>
        </w:rPr>
        <w:t>;</w:t>
      </w:r>
      <w:r w:rsidR="006431FD" w:rsidRPr="006F4772">
        <w:rPr>
          <w:color w:val="000000" w:themeColor="text1"/>
          <w:sz w:val="22"/>
          <w:szCs w:val="22"/>
        </w:rPr>
        <w:t xml:space="preserve"> a Fellow of the University of Illinois at Chicago’s International Center for Health Leadership Development (1998-2000</w:t>
      </w:r>
      <w:r w:rsidR="00B26AE8" w:rsidRPr="006F4772">
        <w:rPr>
          <w:color w:val="000000" w:themeColor="text1"/>
          <w:sz w:val="22"/>
          <w:szCs w:val="22"/>
        </w:rPr>
        <w:t>)</w:t>
      </w:r>
      <w:r w:rsidR="00802E87" w:rsidRPr="006F4772">
        <w:rPr>
          <w:color w:val="000000" w:themeColor="text1"/>
          <w:sz w:val="22"/>
          <w:szCs w:val="22"/>
        </w:rPr>
        <w:t>;</w:t>
      </w:r>
      <w:r w:rsidR="006431FD" w:rsidRPr="006F4772">
        <w:rPr>
          <w:color w:val="000000" w:themeColor="text1"/>
          <w:sz w:val="22"/>
          <w:szCs w:val="22"/>
        </w:rPr>
        <w:t xml:space="preserve"> hold a</w:t>
      </w:r>
      <w:r w:rsidR="006431FD" w:rsidRPr="006F4772">
        <w:rPr>
          <w:bCs/>
          <w:sz w:val="22"/>
          <w:szCs w:val="22"/>
        </w:rPr>
        <w:t xml:space="preserve"> Certificate of Graduate Study in Health Care Ethics from Rush University Medical Center (2004)</w:t>
      </w:r>
      <w:r w:rsidR="00802E87" w:rsidRPr="006F4772">
        <w:rPr>
          <w:bCs/>
          <w:sz w:val="22"/>
          <w:szCs w:val="22"/>
        </w:rPr>
        <w:t>;</w:t>
      </w:r>
      <w:r w:rsidR="00CC2B0A" w:rsidRPr="006F4772">
        <w:rPr>
          <w:bCs/>
          <w:sz w:val="22"/>
          <w:szCs w:val="22"/>
        </w:rPr>
        <w:t xml:space="preserve"> and </w:t>
      </w:r>
      <w:r w:rsidR="008849C1" w:rsidRPr="006F4772">
        <w:rPr>
          <w:bCs/>
          <w:sz w:val="22"/>
          <w:szCs w:val="22"/>
        </w:rPr>
        <w:t xml:space="preserve">at the invitation of the Mexican Consulate in Chicago, I </w:t>
      </w:r>
      <w:r w:rsidR="00041B2F" w:rsidRPr="006F4772">
        <w:rPr>
          <w:bCs/>
          <w:sz w:val="22"/>
          <w:szCs w:val="22"/>
        </w:rPr>
        <w:t xml:space="preserve">was </w:t>
      </w:r>
      <w:r w:rsidR="00CC2B0A" w:rsidRPr="006F4772">
        <w:rPr>
          <w:bCs/>
          <w:sz w:val="22"/>
          <w:szCs w:val="22"/>
        </w:rPr>
        <w:t>a participant in the 4th International Course on Migration and Health</w:t>
      </w:r>
      <w:r w:rsidR="00DF4A8C" w:rsidRPr="006F4772">
        <w:rPr>
          <w:bCs/>
          <w:sz w:val="22"/>
          <w:szCs w:val="22"/>
        </w:rPr>
        <w:t xml:space="preserve"> a</w:t>
      </w:r>
      <w:r w:rsidR="00CC2B0A" w:rsidRPr="006F4772">
        <w:rPr>
          <w:bCs/>
          <w:sz w:val="22"/>
          <w:szCs w:val="22"/>
        </w:rPr>
        <w:t>nd 67th Informative Day of Institute of Mexicans Abroad (June 29-July 3, 2009) in Puebla, Mexico.</w:t>
      </w:r>
    </w:p>
    <w:p w14:paraId="72F40B7B" w14:textId="77777777" w:rsidR="006431FD" w:rsidRPr="00B12E87" w:rsidRDefault="006431FD" w:rsidP="006431FD">
      <w:pPr>
        <w:jc w:val="both"/>
        <w:rPr>
          <w:color w:val="000000" w:themeColor="text1"/>
          <w:sz w:val="16"/>
          <w:szCs w:val="16"/>
        </w:rPr>
      </w:pPr>
    </w:p>
    <w:p w14:paraId="17695310" w14:textId="6469378E" w:rsidR="006431FD" w:rsidRPr="006F4772" w:rsidRDefault="00B55A0D" w:rsidP="006431FD">
      <w:pPr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I am</w:t>
      </w:r>
      <w:r w:rsidR="006431FD" w:rsidRPr="006F4772">
        <w:rPr>
          <w:color w:val="000000" w:themeColor="text1"/>
          <w:sz w:val="22"/>
          <w:szCs w:val="22"/>
        </w:rPr>
        <w:t xml:space="preserve"> co-author on the </w:t>
      </w:r>
      <w:r w:rsidRPr="006F4772">
        <w:rPr>
          <w:color w:val="000000" w:themeColor="text1"/>
          <w:sz w:val="22"/>
          <w:szCs w:val="22"/>
        </w:rPr>
        <w:t>4</w:t>
      </w:r>
      <w:r w:rsidR="006431FD" w:rsidRPr="006F4772">
        <w:rPr>
          <w:color w:val="000000" w:themeColor="text1"/>
          <w:sz w:val="22"/>
          <w:szCs w:val="22"/>
        </w:rPr>
        <w:t xml:space="preserve"> peer-reviewed publications:</w:t>
      </w:r>
    </w:p>
    <w:p w14:paraId="3EA45D83" w14:textId="77777777" w:rsidR="006431FD" w:rsidRPr="006F4772" w:rsidRDefault="006431FD" w:rsidP="00E42562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outlineLvl w:val="0"/>
        <w:rPr>
          <w:color w:val="000000" w:themeColor="text1"/>
          <w:kern w:val="36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Petrovitch H, </w:t>
      </w:r>
      <w:hyperlink r:id="rId6" w:history="1">
        <w:r w:rsidRPr="006F4772">
          <w:rPr>
            <w:color w:val="000000" w:themeColor="text1"/>
            <w:sz w:val="22"/>
            <w:szCs w:val="22"/>
          </w:rPr>
          <w:t>Byington R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7" w:history="1">
        <w:r w:rsidRPr="006F4772">
          <w:rPr>
            <w:color w:val="000000" w:themeColor="text1"/>
            <w:sz w:val="22"/>
            <w:szCs w:val="22"/>
          </w:rPr>
          <w:t>Bailey G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8" w:history="1">
        <w:proofErr w:type="spellStart"/>
        <w:r w:rsidRPr="006F4772">
          <w:rPr>
            <w:color w:val="000000" w:themeColor="text1"/>
            <w:sz w:val="22"/>
            <w:szCs w:val="22"/>
          </w:rPr>
          <w:t>Borhani</w:t>
        </w:r>
        <w:proofErr w:type="spellEnd"/>
        <w:r w:rsidRPr="006F4772">
          <w:rPr>
            <w:color w:val="000000" w:themeColor="text1"/>
            <w:sz w:val="22"/>
            <w:szCs w:val="22"/>
          </w:rPr>
          <w:t xml:space="preserve"> P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9" w:history="1">
        <w:r w:rsidRPr="006F4772">
          <w:rPr>
            <w:color w:val="000000" w:themeColor="text1"/>
            <w:sz w:val="22"/>
            <w:szCs w:val="22"/>
          </w:rPr>
          <w:t>Carmody S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10" w:history="1">
        <w:r w:rsidRPr="006F4772">
          <w:rPr>
            <w:color w:val="000000" w:themeColor="text1"/>
            <w:sz w:val="22"/>
            <w:szCs w:val="22"/>
          </w:rPr>
          <w:t>Goodwin L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11" w:history="1">
        <w:r w:rsidRPr="006F4772">
          <w:rPr>
            <w:color w:val="000000" w:themeColor="text1"/>
            <w:sz w:val="22"/>
            <w:szCs w:val="22"/>
          </w:rPr>
          <w:t>Harrington J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12" w:history="1">
        <w:r w:rsidRPr="006F4772">
          <w:rPr>
            <w:color w:val="000000" w:themeColor="text1"/>
            <w:sz w:val="22"/>
            <w:szCs w:val="22"/>
          </w:rPr>
          <w:t>Johnson HA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13" w:history="1">
        <w:r w:rsidRPr="006F4772">
          <w:rPr>
            <w:color w:val="000000" w:themeColor="text1"/>
            <w:sz w:val="22"/>
            <w:szCs w:val="22"/>
          </w:rPr>
          <w:t>Johnson P</w:t>
        </w:r>
      </w:hyperlink>
      <w:r w:rsidRPr="006F4772">
        <w:rPr>
          <w:color w:val="000000" w:themeColor="text1"/>
          <w:sz w:val="22"/>
          <w:szCs w:val="22"/>
        </w:rPr>
        <w:t xml:space="preserve">, </w:t>
      </w:r>
      <w:hyperlink r:id="rId14" w:history="1">
        <w:r w:rsidRPr="006F4772">
          <w:rPr>
            <w:color w:val="000000" w:themeColor="text1"/>
            <w:sz w:val="22"/>
            <w:szCs w:val="22"/>
          </w:rPr>
          <w:t>Jones M</w:t>
        </w:r>
      </w:hyperlink>
      <w:r w:rsidRPr="006F4772">
        <w:rPr>
          <w:color w:val="000000" w:themeColor="text1"/>
          <w:sz w:val="22"/>
          <w:szCs w:val="22"/>
        </w:rPr>
        <w:t xml:space="preserve">, et al. Hypertension (1991). </w:t>
      </w:r>
      <w:r w:rsidRPr="006F4772">
        <w:rPr>
          <w:i/>
          <w:color w:val="000000" w:themeColor="text1"/>
          <w:kern w:val="36"/>
          <w:sz w:val="22"/>
          <w:szCs w:val="22"/>
        </w:rPr>
        <w:t>Systolic Hypertension in the Elderly Program (SHEP). Part 2: Screening and recruitment</w:t>
      </w:r>
      <w:r w:rsidRPr="006F4772">
        <w:rPr>
          <w:color w:val="000000" w:themeColor="text1"/>
          <w:kern w:val="36"/>
          <w:sz w:val="22"/>
          <w:szCs w:val="22"/>
        </w:rPr>
        <w:t>.</w:t>
      </w:r>
    </w:p>
    <w:p w14:paraId="42A4361E" w14:textId="77777777" w:rsidR="006431FD" w:rsidRPr="006F4772" w:rsidRDefault="006431FD" w:rsidP="00E42562">
      <w:pPr>
        <w:pStyle w:val="ListParagraph"/>
        <w:numPr>
          <w:ilvl w:val="0"/>
          <w:numId w:val="4"/>
        </w:numPr>
        <w:ind w:left="360"/>
        <w:jc w:val="both"/>
        <w:rPr>
          <w:bCs/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Cook ED, Moody-Thomas S, Anderson KB, Campbell R, Hamilton SJ, Harrington JM, Lippman SM, </w:t>
      </w:r>
      <w:proofErr w:type="spellStart"/>
      <w:r w:rsidRPr="006F4772">
        <w:rPr>
          <w:color w:val="000000" w:themeColor="text1"/>
          <w:sz w:val="22"/>
          <w:szCs w:val="22"/>
        </w:rPr>
        <w:t>Minasian</w:t>
      </w:r>
      <w:proofErr w:type="spellEnd"/>
      <w:r w:rsidRPr="006F4772">
        <w:rPr>
          <w:color w:val="000000" w:themeColor="text1"/>
          <w:sz w:val="22"/>
          <w:szCs w:val="22"/>
        </w:rPr>
        <w:t xml:space="preserve"> LM, </w:t>
      </w:r>
      <w:proofErr w:type="spellStart"/>
      <w:r w:rsidRPr="006F4772">
        <w:rPr>
          <w:color w:val="000000" w:themeColor="text1"/>
          <w:sz w:val="22"/>
          <w:szCs w:val="22"/>
        </w:rPr>
        <w:t>Paskett</w:t>
      </w:r>
      <w:proofErr w:type="spellEnd"/>
      <w:r w:rsidRPr="006F4772">
        <w:rPr>
          <w:color w:val="000000" w:themeColor="text1"/>
          <w:sz w:val="22"/>
          <w:szCs w:val="22"/>
        </w:rPr>
        <w:t xml:space="preserve"> ED, </w:t>
      </w:r>
      <w:proofErr w:type="spellStart"/>
      <w:r w:rsidRPr="006F4772">
        <w:rPr>
          <w:color w:val="000000" w:themeColor="text1"/>
          <w:sz w:val="22"/>
          <w:szCs w:val="22"/>
        </w:rPr>
        <w:t>Craine</w:t>
      </w:r>
      <w:proofErr w:type="spellEnd"/>
      <w:r w:rsidRPr="006F4772">
        <w:rPr>
          <w:color w:val="000000" w:themeColor="text1"/>
          <w:sz w:val="22"/>
          <w:szCs w:val="22"/>
        </w:rPr>
        <w:t xml:space="preserve"> S, Arnold KB, </w:t>
      </w:r>
      <w:proofErr w:type="spellStart"/>
      <w:r w:rsidRPr="006F4772">
        <w:rPr>
          <w:color w:val="000000" w:themeColor="text1"/>
          <w:sz w:val="22"/>
          <w:szCs w:val="22"/>
        </w:rPr>
        <w:t>Probstfield</w:t>
      </w:r>
      <w:proofErr w:type="spellEnd"/>
      <w:r w:rsidRPr="006F4772">
        <w:rPr>
          <w:color w:val="000000" w:themeColor="text1"/>
          <w:sz w:val="22"/>
          <w:szCs w:val="22"/>
        </w:rPr>
        <w:t xml:space="preserve"> JL (2005). Society for Clinical Trials. </w:t>
      </w:r>
      <w:r w:rsidRPr="006F4772">
        <w:rPr>
          <w:bCs/>
          <w:i/>
          <w:color w:val="000000" w:themeColor="text1"/>
          <w:sz w:val="22"/>
          <w:szCs w:val="22"/>
        </w:rPr>
        <w:t>Minority recruitment to the Selenium and Vitamin E Cancer Prevention Trial (SELECT)</w:t>
      </w:r>
      <w:r w:rsidRPr="006F4772">
        <w:rPr>
          <w:bCs/>
          <w:color w:val="000000" w:themeColor="text1"/>
          <w:sz w:val="22"/>
          <w:szCs w:val="22"/>
        </w:rPr>
        <w:t>.</w:t>
      </w:r>
    </w:p>
    <w:p w14:paraId="30BCFA56" w14:textId="77777777" w:rsidR="006431FD" w:rsidRPr="006F4772" w:rsidRDefault="006431FD" w:rsidP="00E42562">
      <w:pPr>
        <w:pStyle w:val="ListParagraph"/>
        <w:numPr>
          <w:ilvl w:val="0"/>
          <w:numId w:val="4"/>
        </w:numPr>
        <w:adjustRightInd w:val="0"/>
        <w:ind w:left="360"/>
        <w:jc w:val="both"/>
        <w:rPr>
          <w:i/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Samantha L. Schoenfelder, Sadie </w:t>
      </w:r>
      <w:proofErr w:type="spellStart"/>
      <w:r w:rsidRPr="006F4772">
        <w:rPr>
          <w:color w:val="000000" w:themeColor="text1"/>
          <w:sz w:val="22"/>
          <w:szCs w:val="22"/>
        </w:rPr>
        <w:t>Wych</w:t>
      </w:r>
      <w:proofErr w:type="spellEnd"/>
      <w:r w:rsidRPr="006F4772">
        <w:rPr>
          <w:color w:val="000000" w:themeColor="text1"/>
          <w:sz w:val="22"/>
          <w:szCs w:val="22"/>
        </w:rPr>
        <w:t xml:space="preserve">, Catherine A. Willows, Joseph Harrington, Katherine </w:t>
      </w:r>
      <w:proofErr w:type="spellStart"/>
      <w:r w:rsidRPr="006F4772">
        <w:rPr>
          <w:color w:val="000000" w:themeColor="text1"/>
          <w:sz w:val="22"/>
          <w:szCs w:val="22"/>
        </w:rPr>
        <w:t>Kaufer</w:t>
      </w:r>
      <w:proofErr w:type="spellEnd"/>
      <w:r w:rsidRPr="006F4772">
        <w:rPr>
          <w:color w:val="000000" w:themeColor="text1"/>
          <w:sz w:val="22"/>
          <w:szCs w:val="22"/>
        </w:rPr>
        <w:t xml:space="preserve"> Christoffel, Adam B. Becker (2012). Maternal and Child Health. Journal DOI 10.1007/s10995-012-1144-2 </w:t>
      </w:r>
      <w:r w:rsidRPr="006F4772">
        <w:rPr>
          <w:i/>
          <w:color w:val="000000" w:themeColor="text1"/>
          <w:sz w:val="22"/>
          <w:szCs w:val="22"/>
        </w:rPr>
        <w:t>Engaging Chicago Hospitals in the Baby-Friendly Hospital</w:t>
      </w:r>
    </w:p>
    <w:p w14:paraId="5CDC7C1F" w14:textId="0076805A" w:rsidR="006431FD" w:rsidRPr="006F4772" w:rsidRDefault="006431FD" w:rsidP="00E42562">
      <w:pPr>
        <w:pStyle w:val="ListParagraph"/>
        <w:adjustRightInd w:val="0"/>
        <w:ind w:left="360"/>
        <w:jc w:val="both"/>
        <w:rPr>
          <w:i/>
          <w:color w:val="000000" w:themeColor="text1"/>
          <w:sz w:val="22"/>
          <w:szCs w:val="22"/>
        </w:rPr>
      </w:pPr>
      <w:r w:rsidRPr="006F4772">
        <w:rPr>
          <w:i/>
          <w:color w:val="000000" w:themeColor="text1"/>
          <w:sz w:val="22"/>
          <w:szCs w:val="22"/>
        </w:rPr>
        <w:t>Initiative</w:t>
      </w:r>
    </w:p>
    <w:p w14:paraId="1D3DF98A" w14:textId="0D98652C" w:rsidR="00B55A0D" w:rsidRPr="00A25275" w:rsidRDefault="00B55A0D" w:rsidP="00A25275">
      <w:pPr>
        <w:pStyle w:val="ListParagraph"/>
        <w:numPr>
          <w:ilvl w:val="0"/>
          <w:numId w:val="8"/>
        </w:numPr>
        <w:adjustRightInd w:val="0"/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lastRenderedPageBreak/>
        <w:t xml:space="preserve">Ellen Tambor; Madeleine Shalowitz; Joseph M. Harrington. Kevin Hull; Natalie Watson; Shelly Sital; Jennifer Al Naber; Doriane Miller (2019). Learning Health Systems. Journal </w:t>
      </w:r>
      <w:r w:rsidRPr="006F4772">
        <w:rPr>
          <w:sz w:val="22"/>
          <w:szCs w:val="22"/>
        </w:rPr>
        <w:t xml:space="preserve">DOI: 10.1002/lrh2.10079 </w:t>
      </w:r>
      <w:r w:rsidRPr="006F4772">
        <w:rPr>
          <w:i/>
          <w:color w:val="000000" w:themeColor="text1"/>
          <w:sz w:val="22"/>
          <w:szCs w:val="22"/>
        </w:rPr>
        <w:t>Engaging patients, clinicians and the community in a Clinical Data Research Network: Lessons learned from the CAPriCORN CDRN</w:t>
      </w:r>
    </w:p>
    <w:p w14:paraId="2A6E0561" w14:textId="77777777" w:rsidR="00A25275" w:rsidRPr="006F4772" w:rsidRDefault="00A25275" w:rsidP="00A25275">
      <w:pPr>
        <w:pStyle w:val="ListParagraph"/>
        <w:adjustRightInd w:val="0"/>
        <w:ind w:left="360"/>
        <w:rPr>
          <w:color w:val="000000" w:themeColor="text1"/>
          <w:sz w:val="22"/>
          <w:szCs w:val="22"/>
        </w:rPr>
      </w:pPr>
    </w:p>
    <w:p w14:paraId="1192AB06" w14:textId="2939AB43" w:rsidR="006431FD" w:rsidRPr="006F4772" w:rsidRDefault="006431FD" w:rsidP="00A25275">
      <w:pPr>
        <w:pStyle w:val="Subtitle2"/>
        <w:spacing w:before="0"/>
        <w:rPr>
          <w:rFonts w:ascii="Times New Roman" w:hAnsi="Times New Roman"/>
          <w:color w:val="000000" w:themeColor="text1"/>
          <w:szCs w:val="22"/>
        </w:rPr>
      </w:pPr>
      <w:bookmarkStart w:id="3" w:name="_Hlk55057323"/>
      <w:r w:rsidRPr="006F4772">
        <w:rPr>
          <w:rFonts w:ascii="Times New Roman" w:hAnsi="Times New Roman"/>
          <w:color w:val="000000" w:themeColor="text1"/>
          <w:szCs w:val="22"/>
        </w:rPr>
        <w:t>Related Experience and Professional Memberships:</w:t>
      </w:r>
    </w:p>
    <w:p w14:paraId="7593BB99" w14:textId="04D31DFE" w:rsidR="006431FD" w:rsidRPr="006F4772" w:rsidRDefault="006431FD" w:rsidP="00A25275">
      <w:pPr>
        <w:numPr>
          <w:ilvl w:val="0"/>
          <w:numId w:val="1"/>
        </w:numPr>
        <w:autoSpaceDE w:val="0"/>
        <w:autoSpaceDN w:val="0"/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American Heart Association. 1980-Present</w:t>
      </w:r>
      <w:r w:rsidR="00792F3F" w:rsidRPr="006F4772">
        <w:rPr>
          <w:color w:val="000000" w:themeColor="text1"/>
          <w:sz w:val="22"/>
          <w:szCs w:val="22"/>
        </w:rPr>
        <w:t xml:space="preserve">; </w:t>
      </w:r>
      <w:r w:rsidRPr="006F4772">
        <w:rPr>
          <w:color w:val="000000" w:themeColor="text1"/>
          <w:sz w:val="22"/>
          <w:szCs w:val="22"/>
        </w:rPr>
        <w:t>Hypertension Committee, 1980-1990</w:t>
      </w:r>
      <w:r w:rsidR="00792F3F" w:rsidRPr="006F4772">
        <w:rPr>
          <w:color w:val="000000" w:themeColor="text1"/>
          <w:sz w:val="22"/>
          <w:szCs w:val="22"/>
        </w:rPr>
        <w:t xml:space="preserve">; </w:t>
      </w:r>
      <w:r w:rsidRPr="006F4772">
        <w:rPr>
          <w:color w:val="000000" w:themeColor="text1"/>
          <w:sz w:val="22"/>
          <w:szCs w:val="22"/>
        </w:rPr>
        <w:t>Local Board of Directors, 1994-1995</w:t>
      </w:r>
      <w:r w:rsidR="00792F3F" w:rsidRPr="006F4772">
        <w:rPr>
          <w:color w:val="000000" w:themeColor="text1"/>
          <w:sz w:val="22"/>
          <w:szCs w:val="22"/>
        </w:rPr>
        <w:t xml:space="preserve">; </w:t>
      </w:r>
      <w:r w:rsidRPr="006F4772">
        <w:rPr>
          <w:sz w:val="22"/>
          <w:szCs w:val="22"/>
        </w:rPr>
        <w:t>National Power to End Stroke Award Recipient, 2007</w:t>
      </w:r>
      <w:r w:rsidR="00792F3F" w:rsidRPr="006F4772">
        <w:rPr>
          <w:sz w:val="22"/>
          <w:szCs w:val="22"/>
        </w:rPr>
        <w:t xml:space="preserve">; </w:t>
      </w:r>
      <w:r w:rsidRPr="006F4772">
        <w:rPr>
          <w:color w:val="000000" w:themeColor="text1"/>
          <w:sz w:val="22"/>
          <w:szCs w:val="22"/>
        </w:rPr>
        <w:t>National Diversity Leadership Committee, 2009-2011</w:t>
      </w:r>
      <w:r w:rsidR="00792F3F" w:rsidRPr="006F4772">
        <w:rPr>
          <w:color w:val="000000" w:themeColor="text1"/>
          <w:sz w:val="22"/>
          <w:szCs w:val="22"/>
        </w:rPr>
        <w:t xml:space="preserve">; </w:t>
      </w:r>
      <w:r w:rsidRPr="006F4772">
        <w:rPr>
          <w:color w:val="000000" w:themeColor="text1"/>
          <w:sz w:val="22"/>
          <w:szCs w:val="22"/>
        </w:rPr>
        <w:t>Hypertension Sub-Committee, 2011-2013</w:t>
      </w:r>
      <w:r w:rsidR="00792F3F" w:rsidRPr="006F4772">
        <w:rPr>
          <w:color w:val="000000" w:themeColor="text1"/>
          <w:sz w:val="22"/>
          <w:szCs w:val="22"/>
        </w:rPr>
        <w:t xml:space="preserve">; </w:t>
      </w:r>
      <w:r w:rsidRPr="006F4772">
        <w:rPr>
          <w:color w:val="000000" w:themeColor="text1"/>
          <w:sz w:val="22"/>
          <w:szCs w:val="22"/>
        </w:rPr>
        <w:t>Multicultural Leadership Committee, 2013-</w:t>
      </w:r>
      <w:r w:rsidR="00670B7F" w:rsidRPr="006F4772">
        <w:rPr>
          <w:color w:val="000000" w:themeColor="text1"/>
          <w:sz w:val="22"/>
          <w:szCs w:val="22"/>
        </w:rPr>
        <w:t>2017</w:t>
      </w:r>
    </w:p>
    <w:p w14:paraId="63499437" w14:textId="77777777" w:rsidR="00B919BD" w:rsidRPr="006F4772" w:rsidRDefault="00B919BD" w:rsidP="00B919BD">
      <w:pPr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Advisory Panel on Minority Health, Illinois Department of Public Health, Chair, (1987-1994)</w:t>
      </w:r>
    </w:p>
    <w:p w14:paraId="73E45C9A" w14:textId="7E81BEB2" w:rsidR="006431FD" w:rsidRPr="006F4772" w:rsidRDefault="006431FD" w:rsidP="00B55A0D">
      <w:pPr>
        <w:numPr>
          <w:ilvl w:val="0"/>
          <w:numId w:val="1"/>
        </w:numPr>
        <w:autoSpaceDE w:val="0"/>
        <w:autoSpaceDN w:val="0"/>
        <w:ind w:left="360"/>
        <w:rPr>
          <w:b/>
          <w:sz w:val="22"/>
          <w:szCs w:val="22"/>
        </w:rPr>
      </w:pPr>
      <w:r w:rsidRPr="006F4772">
        <w:rPr>
          <w:sz w:val="22"/>
          <w:szCs w:val="22"/>
        </w:rPr>
        <w:t>American Public Health Association, 2007-Present</w:t>
      </w:r>
    </w:p>
    <w:p w14:paraId="1AC18073" w14:textId="77777777" w:rsidR="006431FD" w:rsidRPr="006F4772" w:rsidRDefault="006431FD" w:rsidP="00B55A0D">
      <w:pPr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6F4772">
        <w:rPr>
          <w:sz w:val="22"/>
          <w:szCs w:val="22"/>
        </w:rPr>
        <w:t xml:space="preserve">Recipient of Pamela </w:t>
      </w:r>
      <w:proofErr w:type="spellStart"/>
      <w:r w:rsidRPr="006F4772">
        <w:rPr>
          <w:sz w:val="22"/>
          <w:szCs w:val="22"/>
        </w:rPr>
        <w:t>Denzmore</w:t>
      </w:r>
      <w:proofErr w:type="spellEnd"/>
      <w:r w:rsidRPr="006F4772">
        <w:rPr>
          <w:sz w:val="22"/>
          <w:szCs w:val="22"/>
        </w:rPr>
        <w:t xml:space="preserve"> Public Health Advocacy Award from the Black Caucus of Health Workers, 2013</w:t>
      </w:r>
    </w:p>
    <w:p w14:paraId="74988C6C" w14:textId="179F2AF6" w:rsidR="00796F2D" w:rsidRPr="006F4772" w:rsidRDefault="00404216" w:rsidP="00404216">
      <w:pPr>
        <w:numPr>
          <w:ilvl w:val="0"/>
          <w:numId w:val="1"/>
        </w:numPr>
        <w:autoSpaceDE w:val="0"/>
        <w:autoSpaceDN w:val="0"/>
        <w:ind w:left="360"/>
        <w:rPr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Board of Directors</w:t>
      </w:r>
      <w:r w:rsidR="008540E8" w:rsidRPr="006F4772">
        <w:rPr>
          <w:color w:val="000000" w:themeColor="text1"/>
          <w:sz w:val="22"/>
          <w:szCs w:val="22"/>
        </w:rPr>
        <w:t xml:space="preserve">, </w:t>
      </w:r>
      <w:r w:rsidR="006431FD" w:rsidRPr="006F4772">
        <w:rPr>
          <w:color w:val="000000" w:themeColor="text1"/>
          <w:sz w:val="22"/>
          <w:szCs w:val="22"/>
        </w:rPr>
        <w:t>Alzheimer’s Association of</w:t>
      </w:r>
      <w:r w:rsidR="00C96F09" w:rsidRPr="006F4772">
        <w:rPr>
          <w:color w:val="000000" w:themeColor="text1"/>
          <w:sz w:val="22"/>
          <w:szCs w:val="22"/>
        </w:rPr>
        <w:t xml:space="preserve"> </w:t>
      </w:r>
      <w:r w:rsidR="006431FD" w:rsidRPr="006F4772">
        <w:rPr>
          <w:color w:val="000000" w:themeColor="text1"/>
          <w:sz w:val="22"/>
          <w:szCs w:val="22"/>
        </w:rPr>
        <w:t xml:space="preserve">Illinois, </w:t>
      </w:r>
      <w:r w:rsidR="008540E8" w:rsidRPr="006F4772">
        <w:rPr>
          <w:color w:val="000000" w:themeColor="text1"/>
          <w:sz w:val="22"/>
          <w:szCs w:val="22"/>
        </w:rPr>
        <w:t>2008-Present,</w:t>
      </w:r>
    </w:p>
    <w:p w14:paraId="4E4A7A55" w14:textId="77777777" w:rsidR="00404216" w:rsidRPr="006F4772" w:rsidRDefault="00404216" w:rsidP="00404216">
      <w:pPr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Board of Directors, CommunityHealth (the largest ‘FREE’ clinic in the US), 2007-Present</w:t>
      </w:r>
    </w:p>
    <w:p w14:paraId="1DD1679C" w14:textId="05808F7C" w:rsidR="00404216" w:rsidRPr="006F4772" w:rsidRDefault="00404216" w:rsidP="0096475B">
      <w:pPr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  <w:shd w:val="clear" w:color="auto" w:fill="FFFFFF"/>
        </w:rPr>
        <w:t>Board of Directors, Cook County Health, 2020-Present</w:t>
      </w:r>
    </w:p>
    <w:p w14:paraId="68B5425E" w14:textId="70DEF03E" w:rsidR="003379A8" w:rsidRPr="006F4772" w:rsidRDefault="00B919BD" w:rsidP="003379A8">
      <w:pPr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  <w:shd w:val="clear" w:color="auto" w:fill="FFFFFF"/>
        </w:rPr>
        <w:t xml:space="preserve">Chinese American Service League, </w:t>
      </w:r>
      <w:r w:rsidR="003379A8" w:rsidRPr="006F4772">
        <w:rPr>
          <w:color w:val="000000" w:themeColor="text1"/>
          <w:sz w:val="22"/>
          <w:szCs w:val="22"/>
          <w:shd w:val="clear" w:color="auto" w:fill="FFFFFF"/>
        </w:rPr>
        <w:t>Program Committee, 2020-Present</w:t>
      </w:r>
    </w:p>
    <w:p w14:paraId="0CB58682" w14:textId="08349279" w:rsidR="006431FD" w:rsidRPr="006F4772" w:rsidRDefault="00B919BD" w:rsidP="00B55A0D">
      <w:pPr>
        <w:numPr>
          <w:ilvl w:val="0"/>
          <w:numId w:val="2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UIC College of Dentistry, </w:t>
      </w:r>
      <w:r w:rsidR="00404216" w:rsidRPr="006F4772">
        <w:rPr>
          <w:color w:val="000000" w:themeColor="text1"/>
          <w:sz w:val="22"/>
          <w:szCs w:val="22"/>
        </w:rPr>
        <w:t xml:space="preserve">Strategic Advisory Committee, </w:t>
      </w:r>
      <w:r w:rsidR="006431FD" w:rsidRPr="006F4772">
        <w:rPr>
          <w:color w:val="000000" w:themeColor="text1"/>
          <w:sz w:val="22"/>
          <w:szCs w:val="22"/>
        </w:rPr>
        <w:t>2016-Present</w:t>
      </w:r>
    </w:p>
    <w:p w14:paraId="2AF5DE34" w14:textId="09761712" w:rsidR="006431FD" w:rsidRPr="006F4772" w:rsidRDefault="00404216" w:rsidP="00712AB8">
      <w:pPr>
        <w:numPr>
          <w:ilvl w:val="0"/>
          <w:numId w:val="2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Urban Health Program, Community Action Committee, </w:t>
      </w:r>
      <w:r w:rsidR="006431FD" w:rsidRPr="006F4772">
        <w:rPr>
          <w:color w:val="000000" w:themeColor="text1"/>
          <w:sz w:val="22"/>
          <w:szCs w:val="22"/>
        </w:rPr>
        <w:t>University of Illinois at Chicago, 2016-present</w:t>
      </w:r>
    </w:p>
    <w:p w14:paraId="4DB8531D" w14:textId="77777777" w:rsidR="00D400AE" w:rsidRPr="006F4772" w:rsidRDefault="00D400AE" w:rsidP="00D400AE">
      <w:pPr>
        <w:numPr>
          <w:ilvl w:val="0"/>
          <w:numId w:val="1"/>
        </w:numPr>
        <w:autoSpaceDE w:val="0"/>
        <w:autoSpaceDN w:val="0"/>
        <w:ind w:left="360"/>
        <w:jc w:val="both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 xml:space="preserve">Member, Minority and Medically Underserved Committee for the </w:t>
      </w:r>
      <w:r w:rsidRPr="006F4772">
        <w:rPr>
          <w:bCs/>
          <w:color w:val="000000" w:themeColor="text1"/>
          <w:sz w:val="22"/>
          <w:szCs w:val="22"/>
        </w:rPr>
        <w:t>Selenium and Vitamin E Cancer Prevention Trial (SELECT), 2002-2006</w:t>
      </w:r>
    </w:p>
    <w:p w14:paraId="33595554" w14:textId="77777777" w:rsidR="00D400AE" w:rsidRPr="006F4772" w:rsidRDefault="00D400AE" w:rsidP="00D400AE">
      <w:pPr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Consortium to Lower Obesity in Chicago Children, 2006-2017</w:t>
      </w:r>
    </w:p>
    <w:p w14:paraId="052B5089" w14:textId="77777777" w:rsidR="00D400AE" w:rsidRPr="006F4772" w:rsidRDefault="00D400AE" w:rsidP="00D400A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Executive Committee and Co-Chair, Policy Advocacy Interest Group</w:t>
      </w:r>
    </w:p>
    <w:p w14:paraId="69BD4327" w14:textId="77777777" w:rsidR="00D400AE" w:rsidRPr="006F4772" w:rsidRDefault="00D400AE" w:rsidP="00D400AE">
      <w:pPr>
        <w:pStyle w:val="ListParagraph"/>
        <w:numPr>
          <w:ilvl w:val="0"/>
          <w:numId w:val="9"/>
        </w:numPr>
        <w:autoSpaceDE w:val="0"/>
        <w:autoSpaceDN w:val="0"/>
        <w:ind w:left="360"/>
        <w:rPr>
          <w:b/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American Cancer Society, 1998-2017</w:t>
      </w:r>
    </w:p>
    <w:p w14:paraId="1CC60F87" w14:textId="77777777" w:rsidR="00D400AE" w:rsidRPr="006F4772" w:rsidRDefault="00D400AE" w:rsidP="00D400AE">
      <w:pPr>
        <w:numPr>
          <w:ilvl w:val="0"/>
          <w:numId w:val="1"/>
        </w:numPr>
        <w:autoSpaceDE w:val="0"/>
        <w:autoSpaceDN w:val="0"/>
        <w:rPr>
          <w:b/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Regional Community Leadership Board, 1998-2017; Chair, 2008-2010</w:t>
      </w:r>
    </w:p>
    <w:p w14:paraId="754E7825" w14:textId="77777777" w:rsidR="00D400AE" w:rsidRPr="006F4772" w:rsidRDefault="00D400AE" w:rsidP="00D400AE">
      <w:pPr>
        <w:numPr>
          <w:ilvl w:val="0"/>
          <w:numId w:val="1"/>
        </w:numPr>
        <w:ind w:left="360"/>
        <w:rPr>
          <w:rStyle w:val="apple-converted-space"/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  <w:shd w:val="clear" w:color="auto" w:fill="FFFFFF"/>
        </w:rPr>
        <w:t xml:space="preserve">External Advisory Board, </w:t>
      </w:r>
      <w:bookmarkStart w:id="4" w:name="_Hlk62822925"/>
      <w:r w:rsidRPr="006F4772">
        <w:rPr>
          <w:color w:val="000000" w:themeColor="text1"/>
          <w:sz w:val="22"/>
          <w:szCs w:val="22"/>
          <w:shd w:val="clear" w:color="auto" w:fill="FFFFFF"/>
        </w:rPr>
        <w:t xml:space="preserve">Northwestern University’s </w:t>
      </w:r>
      <w:bookmarkEnd w:id="4"/>
      <w:r w:rsidRPr="006F4772">
        <w:rPr>
          <w:color w:val="000000" w:themeColor="text1"/>
          <w:sz w:val="22"/>
          <w:szCs w:val="22"/>
          <w:shd w:val="clear" w:color="auto" w:fill="FFFFFF"/>
        </w:rPr>
        <w:t xml:space="preserve">Clinical and Translational Sciences (NUCATS), </w:t>
      </w:r>
      <w:r w:rsidRPr="006F4772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2007-2017</w:t>
      </w:r>
    </w:p>
    <w:p w14:paraId="5E6415EE" w14:textId="77777777" w:rsidR="00D400AE" w:rsidRPr="006F4772" w:rsidRDefault="00D400AE" w:rsidP="00D400AE">
      <w:pPr>
        <w:numPr>
          <w:ilvl w:val="0"/>
          <w:numId w:val="1"/>
        </w:numPr>
        <w:ind w:left="360"/>
        <w:rPr>
          <w:rStyle w:val="apple-converted-space"/>
          <w:color w:val="000000" w:themeColor="text1"/>
          <w:sz w:val="22"/>
          <w:szCs w:val="22"/>
        </w:rPr>
      </w:pPr>
      <w:r w:rsidRPr="006F4772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Master’s in Public Health Program Advisory Board, </w:t>
      </w:r>
      <w:r w:rsidRPr="006F4772">
        <w:rPr>
          <w:color w:val="000000" w:themeColor="text1"/>
          <w:sz w:val="22"/>
          <w:szCs w:val="22"/>
          <w:shd w:val="clear" w:color="auto" w:fill="FFFFFF"/>
        </w:rPr>
        <w:t xml:space="preserve">Northwestern University, </w:t>
      </w:r>
      <w:r w:rsidRPr="006F4772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2007-2017</w:t>
      </w:r>
    </w:p>
    <w:p w14:paraId="488EC93B" w14:textId="77777777" w:rsidR="00712AB8" w:rsidRPr="006F4772" w:rsidRDefault="00712AB8" w:rsidP="00712AB8">
      <w:pPr>
        <w:numPr>
          <w:ilvl w:val="0"/>
          <w:numId w:val="1"/>
        </w:numPr>
        <w:autoSpaceDE w:val="0"/>
        <w:autoSpaceDN w:val="0"/>
        <w:ind w:left="360"/>
        <w:jc w:val="both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National Recruitment Coordinators Working Group and Recruitment Coordinator, for Systolic Hypertension in the Elderly Program (SHEP) for Northwestern University Medical School, 1987-1989</w:t>
      </w:r>
    </w:p>
    <w:p w14:paraId="763A0DE3" w14:textId="77777777" w:rsidR="003379A8" w:rsidRPr="00A25275" w:rsidRDefault="003379A8" w:rsidP="003379A8">
      <w:pPr>
        <w:tabs>
          <w:tab w:val="left" w:pos="0"/>
        </w:tabs>
        <w:rPr>
          <w:i/>
          <w:caps/>
          <w:sz w:val="16"/>
          <w:szCs w:val="16"/>
        </w:rPr>
      </w:pPr>
    </w:p>
    <w:p w14:paraId="67E5EC8C" w14:textId="4E142772" w:rsidR="003379A8" w:rsidRPr="006F4772" w:rsidRDefault="003379A8" w:rsidP="003379A8">
      <w:pPr>
        <w:tabs>
          <w:tab w:val="left" w:pos="0"/>
        </w:tabs>
        <w:rPr>
          <w:iCs/>
          <w:caps/>
          <w:sz w:val="22"/>
          <w:szCs w:val="22"/>
          <w:u w:val="single"/>
        </w:rPr>
      </w:pPr>
      <w:r w:rsidRPr="006F4772">
        <w:rPr>
          <w:iCs/>
          <w:caps/>
          <w:sz w:val="22"/>
          <w:szCs w:val="22"/>
          <w:u w:val="single"/>
        </w:rPr>
        <w:t>Civic Engagement</w:t>
      </w:r>
    </w:p>
    <w:p w14:paraId="0FE3F8CB" w14:textId="77777777" w:rsidR="003379A8" w:rsidRPr="006F4772" w:rsidRDefault="003379A8" w:rsidP="003379A8">
      <w:pPr>
        <w:pStyle w:val="ListParagraph"/>
        <w:numPr>
          <w:ilvl w:val="0"/>
          <w:numId w:val="3"/>
        </w:numPr>
        <w:ind w:left="360"/>
        <w:rPr>
          <w:bCs/>
          <w:iCs/>
          <w:sz w:val="22"/>
          <w:szCs w:val="22"/>
        </w:rPr>
      </w:pPr>
      <w:r w:rsidRPr="006F4772">
        <w:rPr>
          <w:bCs/>
          <w:iCs/>
          <w:sz w:val="22"/>
          <w:szCs w:val="22"/>
        </w:rPr>
        <w:t>President, Theta Chapter Alpha Phi Alpha Fraternity, 1969-1972</w:t>
      </w:r>
    </w:p>
    <w:p w14:paraId="37CC4A1B" w14:textId="77777777" w:rsidR="003379A8" w:rsidRPr="006F4772" w:rsidRDefault="003379A8" w:rsidP="003379A8">
      <w:pPr>
        <w:pStyle w:val="ListParagraph"/>
        <w:numPr>
          <w:ilvl w:val="0"/>
          <w:numId w:val="3"/>
        </w:numPr>
        <w:ind w:left="360"/>
        <w:rPr>
          <w:bCs/>
          <w:iCs/>
          <w:sz w:val="22"/>
          <w:szCs w:val="22"/>
        </w:rPr>
      </w:pPr>
      <w:r w:rsidRPr="006F4772">
        <w:rPr>
          <w:bCs/>
          <w:iCs/>
          <w:sz w:val="22"/>
          <w:szCs w:val="22"/>
        </w:rPr>
        <w:t>President, Black Student Union, Chicago State University, 1974-1975</w:t>
      </w:r>
    </w:p>
    <w:p w14:paraId="3343B6CA" w14:textId="77777777" w:rsidR="003379A8" w:rsidRPr="006F4772" w:rsidRDefault="003379A8" w:rsidP="003379A8">
      <w:pPr>
        <w:pStyle w:val="ListParagraph"/>
        <w:numPr>
          <w:ilvl w:val="0"/>
          <w:numId w:val="3"/>
        </w:numPr>
        <w:ind w:left="360"/>
        <w:rPr>
          <w:bCs/>
          <w:iCs/>
          <w:sz w:val="22"/>
          <w:szCs w:val="22"/>
        </w:rPr>
      </w:pPr>
      <w:r w:rsidRPr="006F4772">
        <w:rPr>
          <w:bCs/>
          <w:iCs/>
          <w:sz w:val="22"/>
          <w:szCs w:val="22"/>
        </w:rPr>
        <w:t>President, Black Student Psychological Association, Chicago State University, 1973-1975</w:t>
      </w:r>
    </w:p>
    <w:p w14:paraId="551B2319" w14:textId="77777777" w:rsidR="00B67343" w:rsidRPr="006F4772" w:rsidRDefault="00B67343" w:rsidP="00B67343">
      <w:pPr>
        <w:numPr>
          <w:ilvl w:val="0"/>
          <w:numId w:val="3"/>
        </w:numPr>
        <w:ind w:left="360"/>
        <w:rPr>
          <w:bCs/>
          <w:iCs/>
          <w:color w:val="000000"/>
          <w:sz w:val="22"/>
          <w:szCs w:val="22"/>
        </w:rPr>
      </w:pPr>
      <w:r w:rsidRPr="006F4772">
        <w:rPr>
          <w:bCs/>
          <w:iCs/>
          <w:sz w:val="22"/>
          <w:szCs w:val="22"/>
        </w:rPr>
        <w:t>Co-Organizer of the Midwest Regional Summit on Africa, 2000, Prelude to National Summit on Africa, Washington, DC, 2001</w:t>
      </w:r>
    </w:p>
    <w:p w14:paraId="5CA8E238" w14:textId="77777777" w:rsidR="003379A8" w:rsidRPr="006F4772" w:rsidRDefault="003379A8" w:rsidP="003379A8">
      <w:pPr>
        <w:numPr>
          <w:ilvl w:val="0"/>
          <w:numId w:val="3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Founding Member, Thapelo Institute, Inc., 2003-Present</w:t>
      </w:r>
    </w:p>
    <w:p w14:paraId="6AAFE4FB" w14:textId="77777777" w:rsidR="00B67343" w:rsidRPr="006F4772" w:rsidRDefault="00B67343" w:rsidP="00B67343">
      <w:pPr>
        <w:numPr>
          <w:ilvl w:val="0"/>
          <w:numId w:val="3"/>
        </w:numPr>
        <w:tabs>
          <w:tab w:val="left" w:pos="0"/>
        </w:tabs>
        <w:ind w:left="360"/>
        <w:rPr>
          <w:bCs/>
          <w:iCs/>
          <w:sz w:val="22"/>
          <w:szCs w:val="22"/>
        </w:rPr>
      </w:pPr>
      <w:r w:rsidRPr="006F4772">
        <w:rPr>
          <w:bCs/>
          <w:iCs/>
          <w:sz w:val="22"/>
          <w:szCs w:val="22"/>
        </w:rPr>
        <w:t>Board of Directors, Africa International House, 2000-2017, Chair, 2004-2017</w:t>
      </w:r>
    </w:p>
    <w:p w14:paraId="78F05E33" w14:textId="77777777" w:rsidR="00B67343" w:rsidRPr="006F4772" w:rsidRDefault="00B67343" w:rsidP="00B67343">
      <w:pPr>
        <w:numPr>
          <w:ilvl w:val="0"/>
          <w:numId w:val="3"/>
        </w:numPr>
        <w:ind w:left="360"/>
        <w:rPr>
          <w:bCs/>
          <w:iCs/>
          <w:color w:val="000000"/>
          <w:sz w:val="22"/>
          <w:szCs w:val="22"/>
        </w:rPr>
      </w:pPr>
      <w:r w:rsidRPr="006F4772">
        <w:rPr>
          <w:bCs/>
          <w:iCs/>
          <w:color w:val="000000"/>
          <w:sz w:val="22"/>
          <w:szCs w:val="22"/>
        </w:rPr>
        <w:t>2016 Chicago Defender, Men of Excellence Recipient</w:t>
      </w:r>
    </w:p>
    <w:p w14:paraId="385AD5BF" w14:textId="77777777" w:rsidR="00B67343" w:rsidRPr="006F4772" w:rsidRDefault="00B67343" w:rsidP="00B67343">
      <w:pPr>
        <w:numPr>
          <w:ilvl w:val="0"/>
          <w:numId w:val="3"/>
        </w:numPr>
        <w:ind w:left="360"/>
        <w:rPr>
          <w:bCs/>
          <w:iCs/>
          <w:color w:val="000000"/>
          <w:sz w:val="22"/>
          <w:szCs w:val="22"/>
        </w:rPr>
      </w:pPr>
      <w:r w:rsidRPr="006F4772">
        <w:rPr>
          <w:bCs/>
          <w:iCs/>
          <w:color w:val="000000"/>
          <w:sz w:val="22"/>
          <w:szCs w:val="22"/>
        </w:rPr>
        <w:t>Board of Trustees, First Unitarian Church, 2017-2019</w:t>
      </w:r>
    </w:p>
    <w:p w14:paraId="355A347A" w14:textId="3D1C4B0C" w:rsidR="006431FD" w:rsidRPr="006F4772" w:rsidRDefault="006431FD" w:rsidP="00B55A0D">
      <w:pPr>
        <w:numPr>
          <w:ilvl w:val="0"/>
          <w:numId w:val="3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Local Advisory Board, iHeartMedia Chicago, 2006-Present</w:t>
      </w:r>
    </w:p>
    <w:p w14:paraId="609C0003" w14:textId="1A43E054" w:rsidR="006431FD" w:rsidRPr="006F4772" w:rsidRDefault="006431FD" w:rsidP="00B55A0D">
      <w:pPr>
        <w:numPr>
          <w:ilvl w:val="0"/>
          <w:numId w:val="3"/>
        </w:numPr>
        <w:ind w:left="360"/>
        <w:rPr>
          <w:color w:val="000000" w:themeColor="text1"/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Community Action Committee, NBC5 Chicago, 2013-Present</w:t>
      </w:r>
    </w:p>
    <w:p w14:paraId="584AD910" w14:textId="56F1E706" w:rsidR="006E13A6" w:rsidRPr="006F4772" w:rsidRDefault="006431FD" w:rsidP="00B55A0D">
      <w:pPr>
        <w:numPr>
          <w:ilvl w:val="0"/>
          <w:numId w:val="3"/>
        </w:numPr>
        <w:ind w:left="360"/>
        <w:rPr>
          <w:sz w:val="22"/>
          <w:szCs w:val="22"/>
        </w:rPr>
      </w:pPr>
      <w:r w:rsidRPr="006F4772">
        <w:rPr>
          <w:color w:val="000000" w:themeColor="text1"/>
          <w:sz w:val="22"/>
          <w:szCs w:val="22"/>
        </w:rPr>
        <w:t>Selective Service System, Member Local Board 017, 2006-Present</w:t>
      </w:r>
      <w:bookmarkEnd w:id="3"/>
    </w:p>
    <w:sectPr w:rsidR="006E13A6" w:rsidRPr="006F4772" w:rsidSect="00AA728D">
      <w:type w:val="continuous"/>
      <w:pgSz w:w="12240" w:h="15840"/>
      <w:pgMar w:top="1152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3A15A4"/>
    <w:multiLevelType w:val="hybridMultilevel"/>
    <w:tmpl w:val="D5F6FBE6"/>
    <w:lvl w:ilvl="0" w:tplc="34A65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CF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43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F7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AEA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6B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EF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7A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2A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D2F"/>
    <w:multiLevelType w:val="hybridMultilevel"/>
    <w:tmpl w:val="0FA2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94"/>
    <w:multiLevelType w:val="hybridMultilevel"/>
    <w:tmpl w:val="D130DB96"/>
    <w:lvl w:ilvl="0" w:tplc="7346C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1CC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926A9F"/>
    <w:multiLevelType w:val="hybridMultilevel"/>
    <w:tmpl w:val="3760B090"/>
    <w:lvl w:ilvl="0" w:tplc="24287C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033D"/>
    <w:multiLevelType w:val="hybridMultilevel"/>
    <w:tmpl w:val="DA6621B8"/>
    <w:lvl w:ilvl="0" w:tplc="72D2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02D6"/>
    <w:multiLevelType w:val="hybridMultilevel"/>
    <w:tmpl w:val="CB0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24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79B2"/>
    <w:multiLevelType w:val="hybridMultilevel"/>
    <w:tmpl w:val="C69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0DAD"/>
    <w:multiLevelType w:val="hybridMultilevel"/>
    <w:tmpl w:val="94D8D1A0"/>
    <w:lvl w:ilvl="0" w:tplc="72D2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FD"/>
    <w:rsid w:val="000124A3"/>
    <w:rsid w:val="0001250D"/>
    <w:rsid w:val="00041B2F"/>
    <w:rsid w:val="000A39CF"/>
    <w:rsid w:val="000A4269"/>
    <w:rsid w:val="000E5C9E"/>
    <w:rsid w:val="00136EB8"/>
    <w:rsid w:val="001B10D4"/>
    <w:rsid w:val="003379A8"/>
    <w:rsid w:val="00350164"/>
    <w:rsid w:val="003D7AEF"/>
    <w:rsid w:val="00404216"/>
    <w:rsid w:val="0046339A"/>
    <w:rsid w:val="00540AAD"/>
    <w:rsid w:val="00581AA7"/>
    <w:rsid w:val="0062000F"/>
    <w:rsid w:val="006431FD"/>
    <w:rsid w:val="00651FC1"/>
    <w:rsid w:val="00670B7F"/>
    <w:rsid w:val="00670E0D"/>
    <w:rsid w:val="006B2234"/>
    <w:rsid w:val="006D0D9C"/>
    <w:rsid w:val="006E13A6"/>
    <w:rsid w:val="006F4772"/>
    <w:rsid w:val="00712AB8"/>
    <w:rsid w:val="00722B13"/>
    <w:rsid w:val="00790775"/>
    <w:rsid w:val="00792F3F"/>
    <w:rsid w:val="00796F2D"/>
    <w:rsid w:val="007A2DE7"/>
    <w:rsid w:val="007B01EC"/>
    <w:rsid w:val="00802E87"/>
    <w:rsid w:val="00803DD7"/>
    <w:rsid w:val="008041A6"/>
    <w:rsid w:val="00822D52"/>
    <w:rsid w:val="00825330"/>
    <w:rsid w:val="00852B12"/>
    <w:rsid w:val="008540E8"/>
    <w:rsid w:val="008849C1"/>
    <w:rsid w:val="008B1253"/>
    <w:rsid w:val="00A147AB"/>
    <w:rsid w:val="00A25275"/>
    <w:rsid w:val="00A61775"/>
    <w:rsid w:val="00A879C9"/>
    <w:rsid w:val="00AD1BB3"/>
    <w:rsid w:val="00AF2B46"/>
    <w:rsid w:val="00B12E87"/>
    <w:rsid w:val="00B26AE8"/>
    <w:rsid w:val="00B55A0D"/>
    <w:rsid w:val="00B6270B"/>
    <w:rsid w:val="00B67343"/>
    <w:rsid w:val="00B919BD"/>
    <w:rsid w:val="00B95DE3"/>
    <w:rsid w:val="00C27668"/>
    <w:rsid w:val="00C73B87"/>
    <w:rsid w:val="00C93ED2"/>
    <w:rsid w:val="00C96F09"/>
    <w:rsid w:val="00CC014F"/>
    <w:rsid w:val="00CC2B0A"/>
    <w:rsid w:val="00D400AE"/>
    <w:rsid w:val="00D74220"/>
    <w:rsid w:val="00D9091C"/>
    <w:rsid w:val="00DF05E8"/>
    <w:rsid w:val="00DF4A8C"/>
    <w:rsid w:val="00E42562"/>
    <w:rsid w:val="00F622C7"/>
    <w:rsid w:val="00F7312E"/>
    <w:rsid w:val="00F803C7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F87"/>
  <w15:chartTrackingRefBased/>
  <w15:docId w15:val="{1B3CB798-7B9D-4373-A3F8-DEF7AB3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Subtitle"/>
    <w:rsid w:val="006431FD"/>
    <w:pPr>
      <w:keepNext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431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31FD"/>
  </w:style>
  <w:style w:type="paragraph" w:styleId="PlainText">
    <w:name w:val="Plain Text"/>
    <w:basedOn w:val="Normal"/>
    <w:link w:val="PlainTextChar"/>
    <w:uiPriority w:val="99"/>
    <w:unhideWhenUsed/>
    <w:rsid w:val="006431FD"/>
    <w:pPr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1FD"/>
    <w:rPr>
      <w:rFonts w:ascii="Consolas" w:hAnsi="Consolas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31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F62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96F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99">
          <w:marLeft w:val="619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916">
          <w:marLeft w:val="619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Borhani%20P%22%5BAuthor%5D" TargetMode="External"/><Relationship Id="rId13" Type="http://schemas.openxmlformats.org/officeDocument/2006/relationships/hyperlink" Target="http://www.ncbi.nlm.nih.gov/pubmed?term=%22Johnson%20P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Bailey%20G%22%5BAuthor%5D" TargetMode="External"/><Relationship Id="rId12" Type="http://schemas.openxmlformats.org/officeDocument/2006/relationships/hyperlink" Target="http://www.ncbi.nlm.nih.gov/pubmed?term=%22Johnson%20HA%22%5BAuthor%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Byington%20R%22%5BAuthor%5D" TargetMode="External"/><Relationship Id="rId11" Type="http://schemas.openxmlformats.org/officeDocument/2006/relationships/hyperlink" Target="http://www.ncbi.nlm.nih.gov/pubmed?term=%22Harrington%20J%22%5BAuthor%5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%22Goodwin%20L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Carmody%20S%22%5BAuthor%5D" TargetMode="External"/><Relationship Id="rId14" Type="http://schemas.openxmlformats.org/officeDocument/2006/relationships/hyperlink" Target="http://www.ncbi.nlm.nih.gov/pubmed?term=%22Jones%20M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Harrington</dc:creator>
  <cp:keywords/>
  <dc:description/>
  <cp:lastModifiedBy>Joseph Harrington</cp:lastModifiedBy>
  <cp:revision>3</cp:revision>
  <cp:lastPrinted>2021-07-12T16:23:00Z</cp:lastPrinted>
  <dcterms:created xsi:type="dcterms:W3CDTF">2021-08-02T00:18:00Z</dcterms:created>
  <dcterms:modified xsi:type="dcterms:W3CDTF">2021-08-02T00:18:00Z</dcterms:modified>
</cp:coreProperties>
</file>